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年专升本《战略管理》考试大纲</w:t>
      </w:r>
    </w:p>
    <w:p>
      <w:pPr>
        <w:pStyle w:val="5"/>
        <w:widowControl/>
        <w:spacing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本大纲的制定旨在贯彻国家和安徽省的相关要求，依据有关政策文件，根据“宽口径、厚基础、强能力、高素质”的原则，实现培养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工商管理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中高级应用性人才的目标。考查内容以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主线，围绕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活动中的模式、营销、交易、物流、支付、安全及相关技术保障和环境措施等内容展开，使学生具备坚实的现代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管理与现代商务管理的理论基础，掌握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分析和制定企业战略或项目的方法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。考试以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相关理论知识为基础，强调课程的综合性和实践应用性，通过对各章节知识要点的扎实掌握和融会贯通实现创新性。</w:t>
      </w:r>
    </w:p>
    <w:p>
      <w:pPr>
        <w:pStyle w:val="5"/>
        <w:widowControl/>
        <w:spacing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二、学科考查内容纲要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（一）考核目标与要求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本课程考试参考书目：</w:t>
      </w:r>
      <w:r>
        <w:rPr>
          <w:rFonts w:hint="eastAsia" w:ascii="仿宋" w:hAnsi="仿宋" w:eastAsia="仿宋" w:cs="仿宋"/>
          <w:sz w:val="28"/>
          <w:szCs w:val="28"/>
        </w:rPr>
        <w:t>《企业战略管理》，邵一明，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第二版，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2021年，</w:t>
      </w:r>
      <w:r>
        <w:rPr>
          <w:rFonts w:hint="eastAsia" w:ascii="仿宋" w:hAnsi="仿宋" w:eastAsia="仿宋" w:cs="仿宋"/>
          <w:sz w:val="28"/>
          <w:szCs w:val="28"/>
        </w:rPr>
        <w:t>中国人民大学出版社。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》课程是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工商管理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专业的核心基础课程，在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工商管理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专业课程体系中有着重要的地位和作用。通过对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相关概念、基本理论、业务流程以及案例的教学，培养学生对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管理学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相关领域的学习与探究兴趣，解决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管理学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领域基本问题与现象的能力，使得学生具备更为扎实和全面的学科素养。具体包括：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1.能力目标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能够简述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的发展历程以及各个阶段的代表性事件及其重要意义；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能够结合自身学习、生活、工作等实际对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分析和制定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进行调研和总结；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能够运用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的相关知识分析当前的企业生产与经营活动中面临的各类问题；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能够结合已有知识分析某一具体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2.知识目标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的概念、基本理论以及一般框架结构；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了解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的发展历程、应用现状与发展趋势；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掌握当前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成熟的企业战略管理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的主要模式；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分析企业战略内外部因素的能力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制定某一案例企业战略的具体步骤的能力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战略管理的有效制定在企业或项目中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的重要性；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3.素质目标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培养学生的团队协作能力、社会责任意识以及诚实经营的品德；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培养学生良好的人际交流与沟通能力；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培养学生分析问题解决问题的能力，及在实践中不断创新的能力；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培养学生吃苦耐劳的敬业精神和职业素养。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（二）考试范围与要求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考试范围主要围绕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基本概念和基本理论、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模式以及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内外部因素、公司层战略、业务层战略、职能层战、战略联盟、国际战略和品牌战略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第一章导论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节战略管理概述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节战略管理的定义、过程和层次（重点）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掌握战略管理的定义和层次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节战略管理者与战略性思维（理解）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节战略管理的利益相关者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第二章企业愿景、使命和战略目标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节企业愿景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节企业使命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节企业战略目标（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企业战略目标和企业愿景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企业使命的联系和区别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战略目标的制定方法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第三章外部环境分析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节宏观环境分析（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掌握政治环境因素分析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经济环境因素分析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社会文化环境因素分析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科技环境因素分析；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节行业环境分析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节主要竞争对手分析（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节外部环境分析的方法和技术（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环境调查方法；环境预测方法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第四章企业内部条件分析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节企业资源分析（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企业有形资源与无形资源；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节企业能力分析（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企业核心能力，核心能力的评价标准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节企业价值链分析（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价值链的基本模型；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节企业业务外包分析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节SWOT矩阵分析法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SWOT矩阵分析方法。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第五章业务层战略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节成本领先战略（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成本领先战略的优缺点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节差异化战略（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差异化竞争战略的优缺点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节集中化战略（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集中化竞争战略的优缺点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节不同行业与企业竞争战略选择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第六章公司层：多元化战略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节企业多元化战略概述（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掌握多元化战略的含义和分类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节企业多元化战略的原因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节相关多元化战略与不相关多元化战略（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相关多元化战略与不相关多元化战略的区别和特征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节实施多元化战略的途径（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多元化战略途径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节企业多元化战略的风险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第七章企业战略联盟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节战略联盟概述（理解）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战略联盟的基本特征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节战略联盟的动因及形式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节战略联盟中的竞争与合作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节组建战略联盟应注意的问题（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sz w:val="28"/>
          <w:szCs w:val="28"/>
        </w:rPr>
        <w:t>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研究开发战略联盟；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制造生产战略联盟；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联合销售战略联盟；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合资企业战略联盟。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第八章企业并购战略（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一般企业和上市公司的并购程序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学习企业并购所实施的策略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通过分析企业并购的风险控制，掌握企业并购后的一体化战略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节企业并购概述（理解）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节企业并购的动机（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节企业并购的程序（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节企业并购评价（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节企业并购后的管理整合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第九章企业国际化战略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节国际化战略概述（理解）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节国际化参与战略的选择（理解）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掌握企业国际化参与战略的四种方式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节目标市场进入方式及其选择（理解）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节国际环境中的风险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第十章企业品牌战略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节品牌概述（理解）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节品牌战略概述（理解）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品牌战略的特征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节品牌战略分类及选择（重点）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品牌战略分类及选择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节品牌延伸战略（理解）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节品牌战略管理过程（理解）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第十一章组织结构与战略实施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节组织结构与战略的关系（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节战略和组织结构的发展模式（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战略与组织结构的发展模式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节实施业务层战略的组织结构（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节实施公司层战略的组织结构（理解）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节国际化战略的实施（理解）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节企业战略与组织结构的调整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第十二章资源配置、文化、领导与战略实施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节资源配置与战略实施（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掌握战略资源配置的原则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人力资源和资金的具体分配内容与方法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节企业文化与战略实施（重点）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战略实施与企业文化的关系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以及二者的协调方式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节领导与战略实施（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战略领导在战略实施中的任务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战略领导应具有的素质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第十三章企业战略控制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节战略控制概述（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节战略控制过程（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战略控制过程的基本步骤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节战略控制方法和手段（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学习战略控制的方法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节战略控制的设计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contextualSpacing/>
        <w:textAlignment w:val="auto"/>
        <w:rPr>
          <w:rFonts w:hint="eastAsia" w:asciiTheme="minorEastAsia" w:hAnsiTheme="minorEastAsi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277"/>
        <w:gridCol w:w="2277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3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判断题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简答题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论述题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13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3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pStyle w:val="5"/>
        <w:widowControl/>
        <w:spacing w:beforeAutospacing="0" w:afterAutospacing="0" w:line="48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64925"/>
    <w:multiLevelType w:val="singleLevel"/>
    <w:tmpl w:val="873649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5891"/>
    <w:rsid w:val="000667EA"/>
    <w:rsid w:val="000B54A5"/>
    <w:rsid w:val="000D5894"/>
    <w:rsid w:val="00171DCD"/>
    <w:rsid w:val="001D0FB9"/>
    <w:rsid w:val="001F4FBC"/>
    <w:rsid w:val="0023013B"/>
    <w:rsid w:val="002F6EC3"/>
    <w:rsid w:val="003071DB"/>
    <w:rsid w:val="003F79CB"/>
    <w:rsid w:val="0049112D"/>
    <w:rsid w:val="005D7873"/>
    <w:rsid w:val="00662F15"/>
    <w:rsid w:val="006A05EC"/>
    <w:rsid w:val="006E297C"/>
    <w:rsid w:val="00721F1C"/>
    <w:rsid w:val="007C511C"/>
    <w:rsid w:val="00821643"/>
    <w:rsid w:val="008A1626"/>
    <w:rsid w:val="00911164"/>
    <w:rsid w:val="00942C1A"/>
    <w:rsid w:val="00945CCA"/>
    <w:rsid w:val="00985A15"/>
    <w:rsid w:val="009E100B"/>
    <w:rsid w:val="00C009AF"/>
    <w:rsid w:val="00C1574A"/>
    <w:rsid w:val="00C65F6A"/>
    <w:rsid w:val="00C75C22"/>
    <w:rsid w:val="00CF78EB"/>
    <w:rsid w:val="00DB5734"/>
    <w:rsid w:val="00E20061"/>
    <w:rsid w:val="00E53F96"/>
    <w:rsid w:val="00EA0C04"/>
    <w:rsid w:val="00ED2E25"/>
    <w:rsid w:val="022D740A"/>
    <w:rsid w:val="02366426"/>
    <w:rsid w:val="03D16A2A"/>
    <w:rsid w:val="070E5891"/>
    <w:rsid w:val="0AAC0BE4"/>
    <w:rsid w:val="0C4C66C5"/>
    <w:rsid w:val="15E83A71"/>
    <w:rsid w:val="1DCC13AA"/>
    <w:rsid w:val="1FEA753A"/>
    <w:rsid w:val="313D0521"/>
    <w:rsid w:val="317837BF"/>
    <w:rsid w:val="39B03FC7"/>
    <w:rsid w:val="3F0A7DDC"/>
    <w:rsid w:val="3F792FE5"/>
    <w:rsid w:val="435B4BCC"/>
    <w:rsid w:val="49B93740"/>
    <w:rsid w:val="52C32E44"/>
    <w:rsid w:val="53037757"/>
    <w:rsid w:val="531A366F"/>
    <w:rsid w:val="53AC556D"/>
    <w:rsid w:val="54DF0B0E"/>
    <w:rsid w:val="55B27386"/>
    <w:rsid w:val="587F4D73"/>
    <w:rsid w:val="59273464"/>
    <w:rsid w:val="5A2F5ED2"/>
    <w:rsid w:val="630F4DA3"/>
    <w:rsid w:val="66E41CDD"/>
    <w:rsid w:val="68940BBB"/>
    <w:rsid w:val="694845A6"/>
    <w:rsid w:val="6AA41FA6"/>
    <w:rsid w:val="6B676A56"/>
    <w:rsid w:val="6BD65D98"/>
    <w:rsid w:val="781C02D9"/>
    <w:rsid w:val="7DC8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Times New Roman" w:eastAsia="宋体" w:cs="Times New Roman"/>
      <w:color w:val="000000"/>
      <w:kern w:val="0"/>
      <w:sz w:val="32"/>
      <w:szCs w:val="32"/>
      <w:lang w:val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biaoti31"/>
    <w:basedOn w:val="8"/>
    <w:qFormat/>
    <w:uiPriority w:val="0"/>
    <w:rPr>
      <w:b/>
      <w:color w:val="003D6C"/>
      <w:sz w:val="30"/>
      <w:szCs w:val="30"/>
    </w:rPr>
  </w:style>
  <w:style w:type="character" w:customStyle="1" w:styleId="12">
    <w:name w:val="标题 2字符"/>
    <w:basedOn w:val="8"/>
    <w:link w:val="2"/>
    <w:qFormat/>
    <w:uiPriority w:val="0"/>
    <w:rPr>
      <w:color w:val="000000"/>
      <w:sz w:val="32"/>
      <w:szCs w:val="32"/>
      <w:lang w:val="zh-C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页眉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780DD-A177-8445-9CEC-B3DB82078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</Words>
  <Characters>1739</Characters>
  <Lines>14</Lines>
  <Paragraphs>4</Paragraphs>
  <TotalTime>0</TotalTime>
  <ScaleCrop>false</ScaleCrop>
  <LinksUpToDate>false</LinksUpToDate>
  <CharactersWithSpaces>2039</CharactersWithSpaces>
  <Application>WPS Office_11.1.0.11365_F1E327BC-269C-435d-A152-05C5408002CA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2020-04-13T14:46:00Z</dcterms:created>
  <dc:creator>Administrator</dc:creator>
  <cp:lastModifiedBy>李哲源</cp:lastModifiedBy>
  <cp:lastPrinted>2018-03-14T00:35:00Z</cp:lastPrinted>
  <dcterms:modified xsi:type="dcterms:W3CDTF">2022-03-04T06:34:37Z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7B3A0A3A76EE4D7B9FCE64C959F59493</vt:lpwstr>
  </property>
</Properties>
</file>