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护理学基础</w:t>
      </w:r>
      <w:r>
        <w:rPr>
          <w:rFonts w:hint="eastAsia" w:ascii="方正小标宋简体" w:eastAsia="方正小标宋简体"/>
          <w:sz w:val="44"/>
          <w:szCs w:val="44"/>
        </w:rPr>
        <w:t>》考试大纲</w:t>
      </w:r>
    </w:p>
    <w:p>
      <w:pPr>
        <w:numPr>
          <w:numId w:val="0"/>
        </w:numPr>
        <w:spacing w:before="240" w:beforeLines="100" w:after="240" w:afterLines="100" w:line="360" w:lineRule="auto"/>
        <w:jc w:val="center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一、</w:t>
      </w:r>
      <w:r>
        <w:rPr>
          <w:rFonts w:hint="eastAsia" w:ascii="黑体" w:hAnsi="黑体" w:eastAsia="黑体"/>
          <w:sz w:val="34"/>
          <w:szCs w:val="34"/>
        </w:rPr>
        <w:t>总纲</w:t>
      </w:r>
    </w:p>
    <w:p>
      <w:pPr>
        <w:spacing w:line="360" w:lineRule="auto"/>
        <w:ind w:firstLine="680" w:firstLineChars="200"/>
        <w:jc w:val="both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安徽省普通高职（专科）层次升入本科教育招生考试（以下简称专升本考试）是安徽省应届全日制普通高职(专科)毕业生和安徽省高校毕业的具有普通高职(专科)学历的退役士兵参加的选拔性考试。安徽理工大学根据报考考生成绩，按照招生章程和计划，择优录取。考试具有较高的信度、效度，必要的区分度和适当的难度。</w:t>
      </w:r>
    </w:p>
    <w:p>
      <w:pPr>
        <w:spacing w:line="360" w:lineRule="auto"/>
        <w:ind w:firstLine="680" w:firstLineChars="200"/>
        <w:jc w:val="both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《安徽理工大学专升本考试大纲》（以下简称《考试大纲》） 是专升本考试命题的规范性文件和标准，是考试评价、复习备考的依据。《考试大纲》明确了专升本考试的性质和功能，规定了考试内容与形式，对实施专升本考试内容改革、规范专升本考试命题有重要意义。《考试大纲》基于考查考生基本知识掌握、关键能力培养、学科专业素养</w:t>
      </w:r>
      <w:r>
        <w:rPr>
          <w:rFonts w:hint="eastAsia" w:ascii="仿宋_GB2312" w:eastAsia="仿宋_GB2312"/>
          <w:sz w:val="34"/>
          <w:szCs w:val="34"/>
          <w:lang w:eastAsia="zh-CN"/>
        </w:rPr>
        <w:t>，</w:t>
      </w:r>
      <w:r>
        <w:rPr>
          <w:rFonts w:hint="eastAsia" w:ascii="仿宋_GB2312" w:eastAsia="仿宋_GB2312"/>
          <w:sz w:val="34"/>
          <w:szCs w:val="34"/>
        </w:rPr>
        <w:t>依据《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护理</w:t>
      </w:r>
      <w:r>
        <w:rPr>
          <w:rFonts w:hint="eastAsia" w:ascii="仿宋_GB2312" w:eastAsia="仿宋_GB2312"/>
          <w:sz w:val="34"/>
          <w:szCs w:val="34"/>
        </w:rPr>
        <w:t>专升本专业课程标准》制定。</w:t>
      </w:r>
    </w:p>
    <w:p>
      <w:pPr>
        <w:spacing w:line="360" w:lineRule="auto"/>
        <w:ind w:firstLine="680" w:firstLineChars="200"/>
        <w:jc w:val="both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专升本考试主要考查学生对学科基本理论、基本知识的掌握情况，同时也要考查学生灵活利用所学知识独立思考、分析问题和解决问题的实践能力，并能促进学生形成正确的社会主义核心价值观。在考查维度方面，兼顾基础性、综合性、应用性和创新性等原则。</w:t>
      </w:r>
    </w:p>
    <w:p>
      <w:pPr>
        <w:spacing w:line="360" w:lineRule="auto"/>
        <w:ind w:firstLine="680" w:firstLineChars="200"/>
        <w:jc w:val="both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本考试大纲的解释权归安徽理工大学。</w:t>
      </w:r>
    </w:p>
    <w:p>
      <w:pPr>
        <w:spacing w:before="240" w:beforeLines="100" w:after="240" w:afterLines="100" w:line="360" w:lineRule="auto"/>
        <w:jc w:val="center"/>
        <w:rPr>
          <w:rFonts w:hint="eastAsia" w:ascii="仿宋_GB2312" w:eastAsia="仿宋_GB2312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二、学科考查内容纲要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（一）</w:t>
      </w: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bidi="ar-SA"/>
        </w:rPr>
        <w:t>考核目标与要求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0" w:firstLineChars="200"/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4"/>
          <w:szCs w:val="34"/>
          <w:lang w:val="zh-CN" w:eastAsia="zh-CN" w:bidi="zh-CN"/>
        </w:rPr>
        <w:t>依据高职高专阶段《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护理学基础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》课程标准及参考书目要求，考查学生是否具备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护理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专业要求的</w:t>
      </w:r>
      <w:bookmarkStart w:id="0" w:name="page2"/>
      <w:bookmarkEnd w:id="0"/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基础知识和基本操作技能。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0" w:firstLineChars="200"/>
        <w:rPr>
          <w:rFonts w:hint="eastAsia" w:ascii="仿宋_GB2312" w:hAnsi="宋体" w:eastAsia="仿宋_GB2312" w:cs="宋体"/>
          <w:kern w:val="0"/>
          <w:sz w:val="34"/>
          <w:szCs w:val="34"/>
          <w:lang w:val="zh-CN" w:eastAsia="zh-CN" w:bidi="zh-CN"/>
        </w:rPr>
      </w:pP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参考教材：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周春美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，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陈焕芬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主编，《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基础护理技术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》，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人民卫生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出版社，2019年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11月，第2版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eastAsia="zh-CN" w:bidi="zh-CN"/>
        </w:rPr>
        <w:t>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bidi="ar-SA"/>
        </w:rPr>
        <w:t>（二）考试范围与要求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bidi="ar-SA"/>
        </w:rPr>
        <w:t xml:space="preserve">第一章 </w:t>
      </w: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医院护理环境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医院物理环境要求；抢救物品管理要求及抢救配合工作；各种铺床法的操作要点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第二章 入院和出院护理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护理分级的适用对象和护理内容；各种运送患者法的目的及注意事项；患者入院和出院护理的工作内容；人体力学在护理工作中的应用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第三章 舒适与卧位护理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患者不舒适的原因及护理原则；疼痛患者的评估及护理措施；常用卧位的姿势和适用范围。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第四章 休息与活动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睡眠时相和睡眠周期；促进休息和睡眠的护理措施；活动受限对机体的影响；关节活动度练习、等长练习、等张练习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第五章 医院感染的预防和控制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医院感染、消毒、灭菌、无菌技术及隔离的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概念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；无菌技术操作基本原则和隔离原则；常用消毒、灭菌方法；卫生手消毒；常用无菌物品的使用及注意事项；隔离区域的划分；隔离的种类及措施。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第六章 护理安全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常用保护具的应用及注意事项；常见护理职业损伤的防护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第七章 清洁护理技术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口腔护理常用溶液及其作用；特殊口腔护理、床上擦浴操作要点及注意事项；压疮的概念；压疮发生的原因、评估、预防、分期、治疗和护理措施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第八章 生命体征的评估与护理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体温、脉搏、呼吸、血压的正常值范围；异常体温、脉搏、呼吸、血压的评估和护理；体温、脉搏、呼吸、血压的测量方法及注意事项。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第九章 冷热疗技术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冷热疗的目的和禁忌症；冷热疗技术操作要点及注意事项。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第十章 医疗和护理文件记录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医疗护理文件的管理；体温单的绘制方法；医嘱的种类和处理方法</w:t>
      </w:r>
      <w:r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default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第十一章 饮食护理技术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医院饮食的种类、适用范围、饮食原则及用法；鼻饲技术的操作要点、适应症、禁忌症及注意事项。</w:t>
      </w:r>
    </w:p>
    <w:p>
      <w:pPr>
        <w:widowControl/>
        <w:autoSpaceDE/>
        <w:autoSpaceDN/>
        <w:spacing w:line="360" w:lineRule="auto"/>
        <w:ind w:left="760"/>
        <w:jc w:val="left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第十二章 排泄护理技术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多尿、少尿、无尿、膀胱刺激征、尿潴留、尿失禁的概念；尿失禁的分类；尿潴留、尿失禁的护理；导尿术的操作要点及注意事项；排便活动异常患者的护理；大量不保留灌肠、小量不保留灌肠、清洁灌肠的操作要点及注意事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第十三章 给药技术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药疗原则、注射原则；常用给药途径及吸收速度排序；口服药物用药指导；口服给药、雾化吸入操作要点及注意事项；常用注射技术操作要点及注意事项；臀大肌注射定位法；青霉素过敏性休克的临床表现、处理和预防；青霉素过敏试验法；破伤风抗毒素脱敏注射法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第十四章 静脉输液和输血技术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静脉输液常用溶液的种类及作用；临床补液原则；输血前准备工作；静脉输液和输血的注意事项；输液速度计算方法；常见输液故障及排除方法；常见输液、输血反应的临床表现及防护。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第十五章 标本采集技术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40"/>
          <w:szCs w:val="40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标本采集的原则；各类</w:t>
      </w:r>
      <w:bookmarkStart w:id="1" w:name="_GoBack"/>
      <w:bookmarkEnd w:id="1"/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标本采集的目的、注意事项；12h、24h尿标本常用防腐剂的种类、作用及适用范围。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68"/>
        </w:tabs>
        <w:spacing w:before="0" w:beforeAutospacing="0" w:after="0" w:afterAutospacing="0" w:line="360" w:lineRule="auto"/>
        <w:ind w:right="0" w:rightChars="0" w:firstLine="683" w:firstLineChars="200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第十六章 病情观察和危重患者的抢救技术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考核知识点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病情观察的内容；意识障碍的分类及临床表现；危重患者的支持性护理；心脏骤停的临床表现；基础生命支持、氧气吸入、吸痰及洗胃的操作要点和注意事项；氧流量与氧浓度的换算；氧疗的副作用及预防；常用洗胃液的选择及注意事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 w:cs="宋体"/>
          <w:b/>
          <w:bCs/>
          <w:color w:val="222222"/>
          <w:kern w:val="0"/>
          <w:sz w:val="34"/>
          <w:szCs w:val="34"/>
          <w:lang w:val="en-US" w:eastAsia="zh-CN" w:bidi="ar-SA"/>
        </w:rPr>
        <w:t>第十七章 临终护理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683" w:firstLineChars="200"/>
        <w:rPr>
          <w:rFonts w:hint="default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考核</w:t>
      </w:r>
      <w:r>
        <w:rPr>
          <w:rFonts w:hint="default" w:ascii="仿宋_GB2312" w:hAnsi="宋体" w:eastAsia="仿宋_GB2312" w:cs="宋体"/>
          <w:b/>
          <w:bCs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知识点：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4"/>
          <w:szCs w:val="34"/>
          <w:lang w:val="en-US" w:eastAsia="zh-CN" w:bidi="zh-CN"/>
          <w14:textFill>
            <w14:solidFill>
              <w14:schemeClr w14:val="tx1"/>
            </w14:solidFill>
          </w14:textFill>
        </w:rPr>
        <w:t>临终关怀、濒死、死亡的概念；脑死亡的判断标准；死亡过程的分期；临终患者生理、心理变化和护理；尸体护理的注意事项。</w:t>
      </w:r>
    </w:p>
    <w:p>
      <w:pPr>
        <w:spacing w:before="240" w:beforeLines="100" w:after="240" w:afterLines="100" w:line="360" w:lineRule="auto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  <w:lang w:val="en-US"/>
        </w:rPr>
        <w:t>三、</w:t>
      </w:r>
      <w:r>
        <w:rPr>
          <w:rFonts w:hint="eastAsia" w:ascii="黑体" w:hAnsi="黑体" w:eastAsia="黑体"/>
          <w:sz w:val="34"/>
          <w:szCs w:val="34"/>
        </w:rPr>
        <w:t xml:space="preserve">补充说明 </w:t>
      </w:r>
    </w:p>
    <w:p>
      <w:pPr>
        <w:autoSpaceDE w:val="0"/>
        <w:autoSpaceDN w:val="0"/>
        <w:spacing w:line="360" w:lineRule="auto"/>
        <w:ind w:firstLine="680" w:firstLineChars="200"/>
        <w:jc w:val="both"/>
        <w:rPr>
          <w:rFonts w:hint="eastAsia" w:ascii="仿宋_GB2312" w:hAnsi="宋体" w:eastAsia="仿宋_GB2312" w:cs="宋体"/>
          <w:kern w:val="0"/>
          <w:sz w:val="34"/>
          <w:szCs w:val="34"/>
          <w:lang w:val="zh-CN" w:bidi="zh-CN"/>
        </w:rPr>
      </w:pP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1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zh-CN" w:eastAsia="zh-CN" w:bidi="zh-CN"/>
        </w:rPr>
        <w:t>.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考试形式：笔试，闭卷。</w:t>
      </w:r>
    </w:p>
    <w:p>
      <w:pPr>
        <w:autoSpaceDE w:val="0"/>
        <w:autoSpaceDN w:val="0"/>
        <w:spacing w:line="360" w:lineRule="auto"/>
        <w:ind w:firstLine="680" w:firstLineChars="200"/>
        <w:jc w:val="both"/>
        <w:rPr>
          <w:rFonts w:hint="eastAsia" w:ascii="仿宋_GB2312" w:hAnsi="宋体" w:eastAsia="仿宋_GB2312" w:cs="宋体"/>
          <w:kern w:val="0"/>
          <w:sz w:val="34"/>
          <w:szCs w:val="34"/>
          <w:lang w:val="zh-CN" w:bidi="zh-CN"/>
        </w:rPr>
      </w:pP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2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zh-CN" w:eastAsia="zh-CN" w:bidi="zh-CN"/>
        </w:rPr>
        <w:t>.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试卷总分：150分。</w:t>
      </w:r>
    </w:p>
    <w:p>
      <w:pPr>
        <w:autoSpaceDE w:val="0"/>
        <w:autoSpaceDN w:val="0"/>
        <w:spacing w:line="360" w:lineRule="auto"/>
        <w:ind w:firstLine="680" w:firstLineChars="200"/>
        <w:jc w:val="both"/>
        <w:rPr>
          <w:rFonts w:hint="eastAsia" w:ascii="仿宋_GB2312" w:hAnsi="宋体" w:eastAsia="仿宋_GB2312" w:cs="宋体"/>
          <w:kern w:val="0"/>
          <w:sz w:val="34"/>
          <w:szCs w:val="34"/>
          <w:lang w:val="zh-CN" w:bidi="zh-CN"/>
        </w:rPr>
      </w:pP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3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zh-CN" w:eastAsia="zh-CN" w:bidi="zh-CN"/>
        </w:rPr>
        <w:t>.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教材购买方式：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人民卫生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出版社官网、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淘宝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搜索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zh-CN" w:eastAsia="zh-CN" w:bidi="zh-CN"/>
        </w:rPr>
        <w:t>“</w:t>
      </w:r>
      <w:r>
        <w:rPr>
          <w:rFonts w:hint="eastAsia" w:ascii="仿宋_GB2312" w:hAnsi="宋体" w:eastAsia="仿宋_GB2312" w:cs="宋体"/>
          <w:kern w:val="0"/>
          <w:sz w:val="34"/>
          <w:szCs w:val="34"/>
          <w:lang w:val="en-US" w:eastAsia="zh-CN" w:bidi="zh-CN"/>
        </w:rPr>
        <w:t>《基础护理技术》周春梅陈焕芬”</w:t>
      </w:r>
      <w:r>
        <w:rPr>
          <w:rFonts w:hint="default" w:ascii="仿宋_GB2312" w:hAnsi="宋体" w:eastAsia="仿宋_GB2312" w:cs="宋体"/>
          <w:kern w:val="0"/>
          <w:sz w:val="34"/>
          <w:szCs w:val="34"/>
          <w:lang w:val="zh-CN" w:bidi="zh-CN"/>
        </w:rPr>
        <w:t>天猫旗舰店、微商城等电商平台图书类商家网购或线下实体书店购买。</w:t>
      </w:r>
    </w:p>
    <w:p>
      <w:pPr>
        <w:autoSpaceDE w:val="0"/>
        <w:autoSpaceDN w:val="0"/>
        <w:spacing w:line="360" w:lineRule="auto"/>
        <w:ind w:firstLine="680" w:firstLineChars="200"/>
        <w:jc w:val="both"/>
        <w:rPr>
          <w:rFonts w:hint="eastAsia" w:ascii="仿宋_GB2312" w:hAnsi="宋体" w:eastAsia="仿宋_GB2312" w:cs="宋体"/>
          <w:kern w:val="0"/>
          <w:sz w:val="34"/>
          <w:szCs w:val="34"/>
          <w:lang w:val="zh-CN" w:bidi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A0772"/>
    <w:rsid w:val="3C401A80"/>
    <w:rsid w:val="3E122A2C"/>
    <w:rsid w:val="4FE433C6"/>
    <w:rsid w:val="5AC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2022-02-21T12:43:00Z</dcterms:created>
  <dc:creator>Administrator</dc:creator>
  <cp:lastModifiedBy>丸子</cp:lastModifiedBy>
  <dcterms:modified xsi:type="dcterms:W3CDTF">2022-02-22T11:13:58Z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0BDA3D1D7919446FBF878CDAFD3B813A</vt:lpwstr>
  </property>
</Properties>
</file>