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tLeast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合肥城市学院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年普通专升本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招生</w:t>
      </w:r>
    </w:p>
    <w:p>
      <w:pPr>
        <w:widowControl/>
        <w:shd w:val="clear" w:color="auto" w:fill="FFFFFF"/>
        <w:spacing w:line="480" w:lineRule="atLeast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免文化课考试退役士兵专项计划考生职业适应性综合考查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方案</w:t>
      </w:r>
    </w:p>
    <w:p/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根据</w:t>
      </w:r>
      <w:r>
        <w:rPr>
          <w:rFonts w:hint="eastAsia" w:ascii="仿宋_GB2312" w:hAnsi="宋体" w:eastAsia="仿宋_GB2312" w:cs="Tahoma"/>
          <w:kern w:val="0"/>
          <w:sz w:val="32"/>
          <w:szCs w:val="32"/>
        </w:rPr>
        <w:t>《安徽省教育厅关于印发安徽省普通高职（专科）层次升入本科教育培养工作实施方案的通知》（皖教高〔2020〕2号）、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《安徽省教育招生考试院关于印发〈安徽省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2023</w:t>
      </w:r>
      <w:r>
        <w:rPr>
          <w:rFonts w:ascii="仿宋_GB2312" w:hAnsi="宋体" w:eastAsia="仿宋_GB2312" w:cs="宋体"/>
          <w:kern w:val="0"/>
          <w:sz w:val="32"/>
          <w:szCs w:val="32"/>
        </w:rPr>
        <w:t>年普通高校专升本考试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招生工作操作办法〉的通知》（皖招考〔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号）和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合肥城市学院2023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年普通高校专升本招生章程，为做好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报考我校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免文化课考试退役士兵专项计划考生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职业适应性综合考查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工作，结合我校实际，制定本方案。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一、考查对象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报考我校并通过资格审查的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免文化课考试退役士兵专项计划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default" w:ascii="黑体" w:hAnsi="黑体" w:eastAsia="黑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二、考查时间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和地点</w:t>
      </w:r>
    </w:p>
    <w:p>
      <w:pPr>
        <w:widowControl/>
        <w:shd w:val="clear" w:color="auto" w:fill="FFFFFF"/>
        <w:spacing w:line="560" w:lineRule="exac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一）时间：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日（星期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下午14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0开始</w:t>
      </w:r>
    </w:p>
    <w:p>
      <w:pPr>
        <w:shd w:val="clear" w:color="auto" w:fill="FFFFFF"/>
        <w:spacing w:line="560" w:lineRule="exact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（二）地点：滨湖校区（黄麓科教园书香路1号）图书馆一楼。</w:t>
      </w:r>
    </w:p>
    <w:p>
      <w:pPr>
        <w:shd w:val="clear" w:color="auto" w:fill="FFFFFF"/>
        <w:spacing w:line="56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三、考查内容和组织形式</w:t>
      </w:r>
    </w:p>
    <w:p>
      <w:pPr>
        <w:shd w:val="clear" w:color="auto" w:fill="FFFFFF"/>
        <w:spacing w:line="560" w:lineRule="exact"/>
        <w:ind w:firstLine="643" w:firstLineChars="200"/>
        <w:rPr>
          <w:rFonts w:ascii="仿宋_GB2312" w:hAnsi="宋体" w:eastAsia="仿宋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（一）考查内容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重点考查考生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未来职业的适应性和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对所学专业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所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报考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专业的基础知识、基本技能的掌握程度，综合运用所学知识分析、解决问题的能力。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1.考查过程以考生自我介绍和考官提问相结合，时长一般不超过8分钟。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2.自我介绍主要包括个人基本信息，在校期间学习情况，在校和服役期间所获荣誉，服役期间对所学职业技能的运用情况、对高职（专科）阶段所学专业和报考专业的认识等。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_GB2312" w:hAnsi="宋体" w:eastAsia="仿宋_GB2312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3.专家提问环节，</w:t>
      </w:r>
      <w:r>
        <w:rPr>
          <w:rFonts w:hint="eastAsia" w:ascii="仿宋_GB2312" w:hAnsi="宋体" w:eastAsia="仿宋_GB2312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主要考查考生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高职（专科）</w:t>
      </w:r>
      <w:r>
        <w:rPr>
          <w:rFonts w:hint="eastAsia" w:ascii="仿宋_GB2312" w:hAnsi="宋体" w:eastAsia="仿宋_GB2312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阶段学习情况，对毕业专业理论知识和应用技能的掌握程度，对报考专业的认识，所学专业知识综合运用能力等。</w:t>
      </w:r>
    </w:p>
    <w:p>
      <w:pPr>
        <w:shd w:val="clear" w:color="auto" w:fill="FFFFFF"/>
        <w:spacing w:line="560" w:lineRule="exact"/>
        <w:ind w:firstLine="643" w:firstLineChars="200"/>
        <w:rPr>
          <w:rFonts w:ascii="仿宋_GB2312" w:hAnsi="宋体" w:eastAsia="仿宋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（二）组织形式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采用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线下现场结构化面试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四、工作人员及职责</w:t>
      </w:r>
    </w:p>
    <w:p>
      <w:pPr>
        <w:shd w:val="clear" w:color="auto" w:fill="FFFFFF"/>
        <w:spacing w:line="560" w:lineRule="exact"/>
        <w:ind w:firstLine="640" w:firstLineChars="200"/>
        <w:rPr>
          <w:rFonts w:ascii="黑体" w:hAnsi="黑体" w:eastAsia="黑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考查设置如下工作人员：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1.主考官1人、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专家评委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4人；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2.纪检监察员1人，全程监督面试工作；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3.视频监考员1人，全程录制专家面试现场，在面试结束后移交视频材料；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4.工作秘书2人，负责办理考生报到手续、抽签、记分、统分及面试考核材料整理归档等。</w:t>
      </w:r>
    </w:p>
    <w:p>
      <w:pPr>
        <w:shd w:val="clear" w:color="auto" w:fill="FFFFFF"/>
        <w:spacing w:line="56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五、考查流程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1.考生在面试开始前30分钟进入候考室等候，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交出随身通讯工具给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候考室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工作人员保管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。听从考场工作秘书安排，核查证件（身份证、退役证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或退役证明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毕业证或毕业证明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），抽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顺序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签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明确面试顺序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2.在工作秘书引导下按照抽签顺序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，抽取考题，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参加面试，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自我介绍和回答考官提问。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3.个人面试结束后，在工作秘书引导下退出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不得再次进入候考室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4.工作秘书统分，汇总考核材料。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5.主考官审核面试成绩汇总表，报学校审批后公示。</w:t>
      </w:r>
    </w:p>
    <w:p>
      <w:pPr>
        <w:shd w:val="clear" w:color="auto" w:fill="FFFFFF"/>
        <w:spacing w:line="56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六、成绩评定与录取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1.成绩评定采取百分制，达到60分及以上为合格。考官独立评分，去掉一个最高分和一个最低分后计算算术平均分（按四舍五入，小数点后保留2位）作为考查成绩。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2.成绩汇总表由纪检监察员和工作秘书签字，报主考官审核。材料自面试结束起存档6个月。</w:t>
      </w:r>
    </w:p>
    <w:p>
      <w:pPr>
        <w:widowControl/>
        <w:spacing w:line="52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.考查成绩与专业课成绩同步发布。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.面试合格的考生，根据其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职业适应性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综合考查成绩从高分到低分排序，按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免文化课考试退役士兵专项计划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数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和招生章程规定的录取规则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择优录取。如出现若干名考生综合考查成绩相同，同时录取超出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免文化课考试退役士兵专项计划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数时，则参照考生提供的加盖毕业院校成绩管理部门公章的高职（专科）期间学业成绩择优录取。</w:t>
      </w:r>
    </w:p>
    <w:p>
      <w:pPr>
        <w:shd w:val="clear" w:color="auto" w:fill="FFFFFF"/>
        <w:spacing w:line="56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七、纪律要求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免文化课考试退役士兵专项计划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职业适应性综合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考查工作在学校招生工作领导小组的统一领导下进行，校纪检监察部门全程监督。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2.工作人员均须按要求签订保密工作责任书，严格遵守工作纪律，恪守工作职责，做好保密工作。工作人员有直系亲属或特定关系人参加本次面试的，应主动回避。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宋体" w:eastAsia="仿宋_GB2312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3.考生纪律要求：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宋体" w:eastAsia="仿宋_GB2312" w:cs="宋体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ascii="仿宋_GB2312" w:hAnsi="宋体" w:eastAsia="仿宋_GB2312" w:cs="宋体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1）</w:t>
      </w:r>
      <w:r>
        <w:rPr>
          <w:rFonts w:hint="eastAsia" w:ascii="仿宋_GB2312" w:hAnsi="宋体" w:eastAsia="仿宋_GB2312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须在规定时间内</w:t>
      </w:r>
      <w:r>
        <w:rPr>
          <w:rFonts w:hint="eastAsia" w:ascii="仿宋_GB2312" w:hAnsi="宋体" w:eastAsia="仿宋_GB2312" w:cs="宋体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来校</w:t>
      </w:r>
      <w:r>
        <w:rPr>
          <w:rFonts w:hint="eastAsia" w:ascii="仿宋_GB2312" w:hAnsi="宋体" w:eastAsia="仿宋_GB2312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参加面试，否则视为放弃面试资格。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宋体" w:eastAsia="仿宋_GB2312" w:cs="宋体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</w:t>
      </w:r>
      <w:r>
        <w:rPr>
          <w:rFonts w:hint="eastAsia" w:ascii="仿宋_GB2312" w:hAnsi="宋体" w:eastAsia="仿宋_GB2312" w:cs="宋体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2）</w:t>
      </w:r>
      <w:r>
        <w:rPr>
          <w:rFonts w:hint="eastAsia" w:ascii="仿宋_GB2312" w:hAnsi="宋体" w:eastAsia="仿宋_GB2312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候考和面试过程中，考生</w:t>
      </w:r>
      <w:r>
        <w:rPr>
          <w:rFonts w:hint="eastAsia" w:ascii="仿宋_GB2312" w:hAnsi="宋体" w:eastAsia="仿宋_GB2312" w:cs="宋体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应服从工作人员安排。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宋体" w:eastAsia="仿宋_GB2312" w:cs="宋体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（3）</w:t>
      </w:r>
      <w:r>
        <w:rPr>
          <w:rFonts w:hint="eastAsia" w:ascii="仿宋_GB2312" w:hAnsi="宋体" w:eastAsia="仿宋_GB2312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不得使用任何电子设备、纸质材料等（身份证件、退役证</w:t>
      </w:r>
      <w:r>
        <w:rPr>
          <w:rFonts w:hint="eastAsia" w:ascii="仿宋_GB2312" w:hAnsi="宋体" w:eastAsia="仿宋_GB2312" w:cs="宋体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或退役证明</w:t>
      </w:r>
      <w:r>
        <w:rPr>
          <w:rFonts w:hint="eastAsia" w:ascii="仿宋_GB2312" w:hAnsi="宋体" w:eastAsia="仿宋_GB2312" w:cs="宋体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、获奖证书除外），否则按违纪处理。</w:t>
      </w:r>
    </w:p>
    <w:p>
      <w:pPr>
        <w:shd w:val="clear" w:color="auto" w:fill="FFFFFF"/>
        <w:spacing w:line="560" w:lineRule="exact"/>
        <w:ind w:firstLine="640" w:firstLineChars="20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八、申诉渠道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举报电话：0551-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88565558、88569020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举报邮箱：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instrText xml:space="preserve"> HYPERLINK "mailto:zsb@cuhf.edu.cn。" </w:instrTex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zsb</w:t>
      </w:r>
      <w:r>
        <w:rPr>
          <w:rStyle w:val="8"/>
          <w:rFonts w:hint="eastAsia" w:ascii="仿宋_GB2312" w:hAnsi="宋体" w:eastAsia="仿宋_GB2312" w:cs="宋体"/>
          <w:kern w:val="0"/>
          <w:sz w:val="32"/>
          <w:szCs w:val="32"/>
        </w:rPr>
        <w:t>@</w:t>
      </w:r>
      <w:r>
        <w:rPr>
          <w:rStyle w:val="8"/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cuhf</w:t>
      </w:r>
      <w:r>
        <w:rPr>
          <w:rStyle w:val="8"/>
          <w:rFonts w:hint="eastAsia" w:ascii="仿宋_GB2312" w:hAnsi="宋体" w:eastAsia="仿宋_GB2312" w:cs="宋体"/>
          <w:kern w:val="0"/>
          <w:sz w:val="32"/>
          <w:szCs w:val="32"/>
        </w:rPr>
        <w:t>.edu.cn</w:t>
      </w:r>
      <w:r>
        <w:rPr>
          <w:rStyle w:val="8"/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fldChar w:fldCharType="end"/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本方案由合肥城市学院教务处负责解释。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附件一：面试流程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附件二：面试评分表（样表）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附件三：面试成绩汇总表（样表）</w:t>
      </w:r>
    </w:p>
    <w:p>
      <w:pPr>
        <w:shd w:val="clear" w:color="auto" w:fill="FFFFFF"/>
        <w:spacing w:line="560" w:lineRule="exact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shd w:val="clear" w:color="auto" w:fill="FFFFFF"/>
        <w:spacing w:line="560" w:lineRule="exact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shd w:val="clear" w:color="auto" w:fill="FFFFFF"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合肥城市学院普通专升本招生免试考生</w:t>
      </w:r>
    </w:p>
    <w:p>
      <w:pPr>
        <w:shd w:val="clear" w:color="auto" w:fill="FFFFFF"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面试流程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仿宋_GB2312" w:hAnsi="宋体" w:eastAsia="仿宋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步骤一：考生报到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1.考生提前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30分钟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到达面试地点集合，携带身份证原件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、退役证或退役证明、获奖证明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合肥城市学院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年普通专升本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鼓励政策报考承诺书、合肥城市学院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年普通专升本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鼓励政策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申请表到候考室核验身份、签到，上交通讯工具（考生面试前不得离开候考室，特殊情况离开，需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报请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工作人员陪同）。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2.抽签，确定面试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顺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序号。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现场工作人员按考生顺序号，根据面试进度组织考生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抽取面试题目。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仿宋_GB2312" w:hAnsi="宋体" w:eastAsia="仿宋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步骤二：面试（时间控制在</w:t>
      </w: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仿宋_GB2312" w:hAnsi="宋体" w:eastAsia="仿宋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分钟以内。）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4.考生进入面试室，报告面试序号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，进行自我介绍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注意：</w:t>
      </w:r>
      <w:r>
        <w:rPr>
          <w:rFonts w:hint="default" w:ascii="仿宋_GB2312" w:hAnsi="宋体" w:eastAsia="仿宋_GB2312" w:cs="宋体"/>
          <w:b/>
          <w:bCs/>
          <w:color w:val="0000FF"/>
          <w:kern w:val="0"/>
          <w:sz w:val="32"/>
          <w:szCs w:val="32"/>
          <w:lang w:val="en-US" w:eastAsia="zh-CN"/>
        </w:rPr>
        <w:t>不得透漏考生</w:t>
      </w:r>
      <w:r>
        <w:rPr>
          <w:rFonts w:hint="eastAsia" w:ascii="仿宋_GB2312" w:hAnsi="宋体" w:eastAsia="仿宋_GB2312" w:cs="宋体"/>
          <w:b/>
          <w:bCs/>
          <w:color w:val="0000FF"/>
          <w:kern w:val="0"/>
          <w:sz w:val="32"/>
          <w:szCs w:val="32"/>
          <w:lang w:val="en-US" w:eastAsia="zh-CN"/>
        </w:rPr>
        <w:t>号、姓名、毕业学校、家庭地址等</w:t>
      </w:r>
      <w:r>
        <w:rPr>
          <w:rFonts w:hint="default" w:ascii="仿宋_GB2312" w:hAnsi="宋体" w:eastAsia="仿宋_GB2312" w:cs="宋体"/>
          <w:b/>
          <w:bCs/>
          <w:color w:val="0000FF"/>
          <w:kern w:val="0"/>
          <w:sz w:val="32"/>
          <w:szCs w:val="32"/>
          <w:lang w:val="en-US" w:eastAsia="zh-CN"/>
        </w:rPr>
        <w:t>个人信息，否则按零分处理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5.按照面试题目口述回答问题。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6.回答评委提问，考核主要内容：考生高职（专科）阶段学习情况，对毕业专业理论知识和应用技能的掌握程度，对报考专业的认识，所学专业知识综合运用能力等。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7.考生面试完毕后，离场取回通讯工具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，不得再次进入候考室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仿宋_GB2312" w:hAnsi="宋体" w:eastAsia="仿宋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步骤三：成绩汇总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评委现场评分。去掉一个最高分和一个最低分，取其平均分为考生面试成绩。分数统计由2名工作人员共同完成，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主考官签字确认，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纪检监督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人员签字确认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仿宋_GB2312" w:hAnsi="宋体" w:eastAsia="仿宋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步骤四：成绩通知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将面试结果集中公示（考生见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合肥城市学院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招生信息网通知）。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shd w:val="clear" w:color="auto" w:fill="FFFFFF"/>
        <w:jc w:val="left"/>
        <w:rPr>
          <w:rFonts w:ascii="Arial" w:hAnsi="Arial" w:cs="Arial"/>
          <w:color w:val="auto"/>
          <w:kern w:val="0"/>
          <w:szCs w:val="21"/>
        </w:rPr>
      </w:pPr>
      <w:r>
        <w:rPr>
          <w:rFonts w:hint="eastAsia" w:ascii="仿宋_GB2312" w:hAnsi="宋体" w:eastAsia="仿宋_GB2312" w:cs="Arial"/>
          <w:color w:val="auto"/>
          <w:kern w:val="0"/>
          <w:sz w:val="27"/>
          <w:szCs w:val="27"/>
        </w:rPr>
        <w:t>附件2：</w:t>
      </w:r>
    </w:p>
    <w:p>
      <w:pPr>
        <w:autoSpaceDE w:val="0"/>
        <w:autoSpaceDN w:val="0"/>
        <w:adjustRightInd w:val="0"/>
        <w:spacing w:before="4" w:after="156" w:afterLines="50" w:line="560" w:lineRule="exact"/>
        <w:jc w:val="center"/>
        <w:rPr>
          <w:rFonts w:hint="eastAsia" w:ascii="宋体" w:hAnsi="宋体"/>
          <w:b/>
          <w:color w:val="auto"/>
          <w:kern w:val="0"/>
          <w:sz w:val="36"/>
          <w:szCs w:val="36"/>
        </w:rPr>
      </w:pPr>
      <w:r>
        <w:rPr>
          <w:rFonts w:hint="eastAsia" w:ascii="宋体" w:hAnsi="宋体"/>
          <w:b/>
          <w:color w:val="auto"/>
          <w:kern w:val="0"/>
          <w:sz w:val="36"/>
          <w:szCs w:val="36"/>
          <w:lang w:eastAsia="zh-CN"/>
        </w:rPr>
        <w:t>合肥城市学院</w:t>
      </w:r>
      <w:r>
        <w:rPr>
          <w:rFonts w:hint="eastAsia" w:ascii="宋体" w:hAnsi="宋体"/>
          <w:b/>
          <w:color w:val="auto"/>
          <w:kern w:val="0"/>
          <w:sz w:val="36"/>
          <w:szCs w:val="36"/>
        </w:rPr>
        <w:t>专升本免试考生面试评分表</w:t>
      </w:r>
    </w:p>
    <w:p>
      <w:pPr>
        <w:widowControl/>
        <w:shd w:val="clear" w:color="auto" w:fill="FFFFFF"/>
        <w:spacing w:after="158" w:line="562" w:lineRule="atLeast"/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</w:pPr>
    </w:p>
    <w:p>
      <w:pPr>
        <w:widowControl/>
        <w:shd w:val="clear" w:color="auto" w:fill="FFFFFF"/>
        <w:spacing w:after="158" w:line="562" w:lineRule="atLeas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kern w:val="0"/>
          <w:sz w:val="28"/>
          <w:szCs w:val="28"/>
        </w:rPr>
        <w:t>面试专业：                              面试抽签号：</w:t>
      </w:r>
    </w:p>
    <w:tbl>
      <w:tblPr>
        <w:tblStyle w:val="5"/>
        <w:tblW w:w="8599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45" w:type="dxa"/>
          <w:left w:w="120" w:type="dxa"/>
          <w:bottom w:w="45" w:type="dxa"/>
          <w:right w:w="120" w:type="dxa"/>
        </w:tblCellMar>
      </w:tblPr>
      <w:tblGrid>
        <w:gridCol w:w="2374"/>
        <w:gridCol w:w="1245"/>
        <w:gridCol w:w="3255"/>
        <w:gridCol w:w="1725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120" w:type="dxa"/>
            <w:bottom w:w="45" w:type="dxa"/>
            <w:right w:w="120" w:type="dxa"/>
          </w:tblCellMar>
        </w:tblPrEx>
        <w:trPr>
          <w:trHeight w:val="781" w:hRule="atLeast"/>
        </w:trPr>
        <w:tc>
          <w:tcPr>
            <w:tcW w:w="237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12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分值</w:t>
            </w:r>
          </w:p>
        </w:tc>
        <w:tc>
          <w:tcPr>
            <w:tcW w:w="32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评价标准</w:t>
            </w:r>
          </w:p>
        </w:tc>
        <w:tc>
          <w:tcPr>
            <w:tcW w:w="1725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考生得分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120" w:type="dxa"/>
            <w:bottom w:w="45" w:type="dxa"/>
            <w:right w:w="120" w:type="dxa"/>
          </w:tblCellMar>
        </w:tblPrEx>
        <w:trPr>
          <w:trHeight w:val="1478" w:hRule="atLeast"/>
        </w:trPr>
        <w:tc>
          <w:tcPr>
            <w:tcW w:w="237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抽题口述情况</w:t>
            </w:r>
          </w:p>
        </w:tc>
        <w:tc>
          <w:tcPr>
            <w:tcW w:w="12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0分</w:t>
            </w:r>
          </w:p>
        </w:tc>
        <w:tc>
          <w:tcPr>
            <w:tcW w:w="32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考察口述答案的准确性。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(评分等级：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一档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二档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三档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四档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-0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)</w:t>
            </w:r>
          </w:p>
        </w:tc>
        <w:tc>
          <w:tcPr>
            <w:tcW w:w="1725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120" w:type="dxa"/>
            <w:bottom w:w="45" w:type="dxa"/>
            <w:right w:w="120" w:type="dxa"/>
          </w:tblCellMar>
        </w:tblPrEx>
        <w:trPr>
          <w:trHeight w:val="1478" w:hRule="atLeast"/>
        </w:trPr>
        <w:tc>
          <w:tcPr>
            <w:tcW w:w="237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回答评委提问情况</w:t>
            </w:r>
          </w:p>
        </w:tc>
        <w:tc>
          <w:tcPr>
            <w:tcW w:w="12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40分</w:t>
            </w:r>
          </w:p>
        </w:tc>
        <w:tc>
          <w:tcPr>
            <w:tcW w:w="32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考察毕业专业和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报考专业基础知识掌握情况；运用专业知识分析、解决问题的能力。(评分等级：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一档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二档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三档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四档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-0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)</w:t>
            </w:r>
          </w:p>
        </w:tc>
        <w:tc>
          <w:tcPr>
            <w:tcW w:w="1725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120" w:type="dxa"/>
            <w:bottom w:w="45" w:type="dxa"/>
            <w:right w:w="120" w:type="dxa"/>
          </w:tblCellMar>
        </w:tblPrEx>
        <w:trPr>
          <w:trHeight w:val="1933" w:hRule="atLeast"/>
        </w:trPr>
        <w:tc>
          <w:tcPr>
            <w:tcW w:w="237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综合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素质评价</w:t>
            </w:r>
          </w:p>
        </w:tc>
        <w:tc>
          <w:tcPr>
            <w:tcW w:w="124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0分</w:t>
            </w:r>
          </w:p>
        </w:tc>
        <w:tc>
          <w:tcPr>
            <w:tcW w:w="32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考察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语言表达能力、逻辑思维能力、应变能力、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知识储备能力、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职业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适应性与职业兴趣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等。(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评分等级：一档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二档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三档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四档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-0 )</w:t>
            </w:r>
          </w:p>
        </w:tc>
        <w:tc>
          <w:tcPr>
            <w:tcW w:w="1725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120" w:type="dxa"/>
            <w:bottom w:w="45" w:type="dxa"/>
            <w:right w:w="120" w:type="dxa"/>
          </w:tblCellMar>
        </w:tblPrEx>
        <w:trPr>
          <w:trHeight w:val="913" w:hRule="atLeast"/>
        </w:trPr>
        <w:tc>
          <w:tcPr>
            <w:tcW w:w="6874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成绩合计</w:t>
            </w:r>
          </w:p>
        </w:tc>
        <w:tc>
          <w:tcPr>
            <w:tcW w:w="1725" w:type="dxa"/>
            <w:tcBorders>
              <w:top w:val="single" w:color="666666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120" w:type="dxa"/>
            <w:bottom w:w="45" w:type="dxa"/>
            <w:right w:w="120" w:type="dxa"/>
          </w:tblCellMar>
        </w:tblPrEx>
        <w:trPr>
          <w:trHeight w:val="1048" w:hRule="atLeast"/>
        </w:trPr>
        <w:tc>
          <w:tcPr>
            <w:tcW w:w="8599" w:type="dxa"/>
            <w:gridSpan w:val="4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面试专家签名：    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说明：</w:t>
      </w:r>
    </w:p>
    <w:p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每位考生的面试时间不超过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4"/>
        </w:rPr>
        <w:t>分钟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面试专家依据考生面试表现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对照评价标准</w:t>
      </w:r>
      <w:r>
        <w:rPr>
          <w:rFonts w:hint="eastAsia" w:ascii="仿宋_GB2312" w:hAnsi="仿宋_GB2312" w:eastAsia="仿宋_GB2312" w:cs="仿宋_GB2312"/>
          <w:color w:val="auto"/>
          <w:sz w:val="24"/>
        </w:rPr>
        <w:t>进行打分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分数如有涂改，面试专家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24"/>
        </w:rPr>
        <w:t>在涂改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color w:val="auto"/>
          <w:sz w:val="24"/>
        </w:rPr>
        <w:t>签名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确认</w:t>
      </w:r>
      <w:r>
        <w:rPr>
          <w:rFonts w:hint="eastAsia" w:ascii="仿宋_GB2312" w:hAnsi="仿宋_GB2312" w:eastAsia="仿宋_GB2312" w:cs="仿宋_GB2312"/>
          <w:color w:val="auto"/>
          <w:sz w:val="24"/>
        </w:rPr>
        <w:t>。</w:t>
      </w:r>
    </w:p>
    <w:p>
      <w:pPr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  <w:br w:type="page"/>
      </w:r>
    </w:p>
    <w:p>
      <w:pPr>
        <w:widowControl/>
        <w:shd w:val="clear" w:color="auto" w:fill="FFFFFF"/>
        <w:jc w:val="left"/>
        <w:rPr>
          <w:rFonts w:ascii="Arial" w:hAnsi="Arial" w:cs="Arial"/>
          <w:color w:val="auto"/>
          <w:kern w:val="0"/>
          <w:szCs w:val="21"/>
        </w:rPr>
      </w:pPr>
      <w:r>
        <w:rPr>
          <w:rFonts w:hint="eastAsia" w:ascii="仿宋_GB2312" w:hAnsi="宋体" w:eastAsia="仿宋_GB2312" w:cs="Arial"/>
          <w:color w:val="auto"/>
          <w:kern w:val="0"/>
          <w:sz w:val="27"/>
          <w:szCs w:val="27"/>
        </w:rPr>
        <w:t>附件</w:t>
      </w:r>
      <w:r>
        <w:rPr>
          <w:rFonts w:hint="eastAsia" w:ascii="仿宋_GB2312" w:hAnsi="宋体" w:eastAsia="仿宋_GB2312" w:cs="Arial"/>
          <w:color w:val="auto"/>
          <w:kern w:val="0"/>
          <w:sz w:val="27"/>
          <w:szCs w:val="27"/>
          <w:lang w:val="en-US" w:eastAsia="zh-CN"/>
        </w:rPr>
        <w:t>3</w:t>
      </w:r>
      <w:r>
        <w:rPr>
          <w:rFonts w:hint="eastAsia" w:ascii="仿宋_GB2312" w:hAnsi="宋体" w:eastAsia="仿宋_GB2312" w:cs="Arial"/>
          <w:color w:val="auto"/>
          <w:kern w:val="0"/>
          <w:sz w:val="27"/>
          <w:szCs w:val="27"/>
        </w:rPr>
        <w:t>：</w:t>
      </w:r>
    </w:p>
    <w:p>
      <w:pPr>
        <w:autoSpaceDE w:val="0"/>
        <w:autoSpaceDN w:val="0"/>
        <w:adjustRightInd w:val="0"/>
        <w:spacing w:before="4" w:after="156" w:afterLines="50" w:line="560" w:lineRule="exact"/>
        <w:jc w:val="center"/>
        <w:rPr>
          <w:rFonts w:hint="default" w:ascii="宋体" w:hAnsi="宋体" w:eastAsiaTheme="minorEastAsia"/>
          <w:b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color w:val="auto"/>
          <w:kern w:val="0"/>
          <w:sz w:val="36"/>
          <w:szCs w:val="36"/>
          <w:lang w:eastAsia="zh-CN"/>
        </w:rPr>
        <w:t>合肥城市学院</w:t>
      </w:r>
      <w:r>
        <w:rPr>
          <w:rFonts w:hint="eastAsia" w:ascii="宋体" w:hAnsi="宋体"/>
          <w:b/>
          <w:color w:val="auto"/>
          <w:kern w:val="0"/>
          <w:sz w:val="36"/>
          <w:szCs w:val="36"/>
        </w:rPr>
        <w:t>专升本免试考生面试</w:t>
      </w:r>
      <w:r>
        <w:rPr>
          <w:rFonts w:hint="eastAsia" w:ascii="宋体" w:hAnsi="宋体"/>
          <w:b/>
          <w:color w:val="auto"/>
          <w:kern w:val="0"/>
          <w:sz w:val="36"/>
          <w:szCs w:val="36"/>
          <w:lang w:val="en-US" w:eastAsia="zh-CN"/>
        </w:rPr>
        <w:t>成绩汇总表</w:t>
      </w:r>
    </w:p>
    <w:tbl>
      <w:tblPr>
        <w:tblStyle w:val="6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415"/>
        <w:gridCol w:w="1185"/>
        <w:gridCol w:w="1860"/>
        <w:gridCol w:w="975"/>
        <w:gridCol w:w="885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顺序号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考生号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成绩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排名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主考官（签名）：             纪检监察人员（签名）：</w:t>
      </w:r>
    </w:p>
    <w:sectPr>
      <w:footerReference r:id="rId3" w:type="default"/>
      <w:pgSz w:w="11906" w:h="16838"/>
      <w:pgMar w:top="1440" w:right="1633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9008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099F95"/>
    <w:multiLevelType w:val="singleLevel"/>
    <w:tmpl w:val="8E099F95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zYjNjZDYwYWU2OGY5NjQ5MGFlOTkxZTEyMDVlZTUifQ=="/>
  </w:docVars>
  <w:rsids>
    <w:rsidRoot w:val="005B726B"/>
    <w:rsid w:val="0000280F"/>
    <w:rsid w:val="0002677F"/>
    <w:rsid w:val="0003575D"/>
    <w:rsid w:val="00063E30"/>
    <w:rsid w:val="0007211B"/>
    <w:rsid w:val="00090B4E"/>
    <w:rsid w:val="000B56DE"/>
    <w:rsid w:val="001017AF"/>
    <w:rsid w:val="001142CE"/>
    <w:rsid w:val="00117C4A"/>
    <w:rsid w:val="001205AD"/>
    <w:rsid w:val="00140A44"/>
    <w:rsid w:val="00184666"/>
    <w:rsid w:val="0019595D"/>
    <w:rsid w:val="001B0D50"/>
    <w:rsid w:val="001C61BE"/>
    <w:rsid w:val="001E1044"/>
    <w:rsid w:val="001F1EEC"/>
    <w:rsid w:val="002031E1"/>
    <w:rsid w:val="00227AA8"/>
    <w:rsid w:val="0023002D"/>
    <w:rsid w:val="00232299"/>
    <w:rsid w:val="00253FD3"/>
    <w:rsid w:val="00263550"/>
    <w:rsid w:val="002A1819"/>
    <w:rsid w:val="002D113B"/>
    <w:rsid w:val="002D7654"/>
    <w:rsid w:val="002E4820"/>
    <w:rsid w:val="00320040"/>
    <w:rsid w:val="0034202D"/>
    <w:rsid w:val="00352195"/>
    <w:rsid w:val="003671A4"/>
    <w:rsid w:val="00372935"/>
    <w:rsid w:val="00383FEE"/>
    <w:rsid w:val="00392F71"/>
    <w:rsid w:val="003D09AE"/>
    <w:rsid w:val="003F7F9B"/>
    <w:rsid w:val="00413610"/>
    <w:rsid w:val="0041566B"/>
    <w:rsid w:val="00427071"/>
    <w:rsid w:val="004301DB"/>
    <w:rsid w:val="0043108D"/>
    <w:rsid w:val="004432BE"/>
    <w:rsid w:val="004904F8"/>
    <w:rsid w:val="00492B64"/>
    <w:rsid w:val="004C1335"/>
    <w:rsid w:val="004D087C"/>
    <w:rsid w:val="004F48F7"/>
    <w:rsid w:val="004F7970"/>
    <w:rsid w:val="00504AAA"/>
    <w:rsid w:val="00514179"/>
    <w:rsid w:val="00523095"/>
    <w:rsid w:val="005255A8"/>
    <w:rsid w:val="0052645C"/>
    <w:rsid w:val="005434B6"/>
    <w:rsid w:val="00570695"/>
    <w:rsid w:val="00570FD0"/>
    <w:rsid w:val="0059294A"/>
    <w:rsid w:val="005960A6"/>
    <w:rsid w:val="005B726B"/>
    <w:rsid w:val="005C23CF"/>
    <w:rsid w:val="005F6266"/>
    <w:rsid w:val="0060590A"/>
    <w:rsid w:val="00632438"/>
    <w:rsid w:val="00635370"/>
    <w:rsid w:val="00652446"/>
    <w:rsid w:val="00683853"/>
    <w:rsid w:val="00685A92"/>
    <w:rsid w:val="00690CB1"/>
    <w:rsid w:val="006C3A90"/>
    <w:rsid w:val="006C78B4"/>
    <w:rsid w:val="006D3F72"/>
    <w:rsid w:val="006D554D"/>
    <w:rsid w:val="006E4238"/>
    <w:rsid w:val="006E7239"/>
    <w:rsid w:val="006E7D75"/>
    <w:rsid w:val="006F2664"/>
    <w:rsid w:val="00701F55"/>
    <w:rsid w:val="00704C85"/>
    <w:rsid w:val="00727343"/>
    <w:rsid w:val="00731C91"/>
    <w:rsid w:val="00746CA8"/>
    <w:rsid w:val="00747EB8"/>
    <w:rsid w:val="00761EF5"/>
    <w:rsid w:val="00787063"/>
    <w:rsid w:val="00791EA5"/>
    <w:rsid w:val="007B10F5"/>
    <w:rsid w:val="007B4D9D"/>
    <w:rsid w:val="007D7429"/>
    <w:rsid w:val="007E68EF"/>
    <w:rsid w:val="007F77B5"/>
    <w:rsid w:val="00803312"/>
    <w:rsid w:val="008133C1"/>
    <w:rsid w:val="00847265"/>
    <w:rsid w:val="00880BA9"/>
    <w:rsid w:val="00883C8F"/>
    <w:rsid w:val="0089409E"/>
    <w:rsid w:val="008B6A59"/>
    <w:rsid w:val="008C0155"/>
    <w:rsid w:val="008D4E24"/>
    <w:rsid w:val="008E7D10"/>
    <w:rsid w:val="008F3A1F"/>
    <w:rsid w:val="00901B25"/>
    <w:rsid w:val="00905CE4"/>
    <w:rsid w:val="009309BE"/>
    <w:rsid w:val="009451F5"/>
    <w:rsid w:val="00954816"/>
    <w:rsid w:val="0096780A"/>
    <w:rsid w:val="009A1EC0"/>
    <w:rsid w:val="009C0472"/>
    <w:rsid w:val="009C39E7"/>
    <w:rsid w:val="009C5755"/>
    <w:rsid w:val="009D1CF2"/>
    <w:rsid w:val="009D241D"/>
    <w:rsid w:val="009D2A38"/>
    <w:rsid w:val="009D3CB6"/>
    <w:rsid w:val="00A03A28"/>
    <w:rsid w:val="00A3032A"/>
    <w:rsid w:val="00A33C03"/>
    <w:rsid w:val="00A45FD8"/>
    <w:rsid w:val="00AC3582"/>
    <w:rsid w:val="00B504A2"/>
    <w:rsid w:val="00B71262"/>
    <w:rsid w:val="00B77D62"/>
    <w:rsid w:val="00B82AB7"/>
    <w:rsid w:val="00BC6E3D"/>
    <w:rsid w:val="00BE1439"/>
    <w:rsid w:val="00C02B0B"/>
    <w:rsid w:val="00C219ED"/>
    <w:rsid w:val="00C56AD8"/>
    <w:rsid w:val="00C617BA"/>
    <w:rsid w:val="00C810D5"/>
    <w:rsid w:val="00C84F5A"/>
    <w:rsid w:val="00C94A0D"/>
    <w:rsid w:val="00CA7A7A"/>
    <w:rsid w:val="00D02BC4"/>
    <w:rsid w:val="00D33FB8"/>
    <w:rsid w:val="00D56F84"/>
    <w:rsid w:val="00D8193E"/>
    <w:rsid w:val="00D97E92"/>
    <w:rsid w:val="00DA7D29"/>
    <w:rsid w:val="00DB6CA2"/>
    <w:rsid w:val="00DD69F3"/>
    <w:rsid w:val="00DF6E47"/>
    <w:rsid w:val="00E003F7"/>
    <w:rsid w:val="00E249CC"/>
    <w:rsid w:val="00E268CF"/>
    <w:rsid w:val="00E36970"/>
    <w:rsid w:val="00E43EEA"/>
    <w:rsid w:val="00E60BF4"/>
    <w:rsid w:val="00E6274F"/>
    <w:rsid w:val="00E67838"/>
    <w:rsid w:val="00E8222C"/>
    <w:rsid w:val="00E919E8"/>
    <w:rsid w:val="00ED00CA"/>
    <w:rsid w:val="00EE3095"/>
    <w:rsid w:val="00F051D4"/>
    <w:rsid w:val="00F13796"/>
    <w:rsid w:val="00F15E9E"/>
    <w:rsid w:val="00F55888"/>
    <w:rsid w:val="00F63FA5"/>
    <w:rsid w:val="00F65814"/>
    <w:rsid w:val="00F7010C"/>
    <w:rsid w:val="00F822FF"/>
    <w:rsid w:val="00FA0BD6"/>
    <w:rsid w:val="00FA23D0"/>
    <w:rsid w:val="00FD5BEB"/>
    <w:rsid w:val="00FD6437"/>
    <w:rsid w:val="00FF6CF9"/>
    <w:rsid w:val="098E3A7F"/>
    <w:rsid w:val="0A2C7BA3"/>
    <w:rsid w:val="0CFD51A3"/>
    <w:rsid w:val="1B825731"/>
    <w:rsid w:val="3A8325D3"/>
    <w:rsid w:val="3D711112"/>
    <w:rsid w:val="3E6024C3"/>
    <w:rsid w:val="683D381B"/>
    <w:rsid w:val="799865CC"/>
    <w:rsid w:val="7F49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2401</Words>
  <Characters>2538</Characters>
  <Lines>11</Lines>
  <Paragraphs>3</Paragraphs>
  <TotalTime>17</TotalTime>
  <ScaleCrop>false</ScaleCrop>
  <LinksUpToDate>false</LinksUpToDate>
  <CharactersWithSpaces>2613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2022-03-22T01:56:00Z</dcterms:created>
  <dc:creator>Administrator</dc:creator>
  <cp:lastModifiedBy>葛英刚</cp:lastModifiedBy>
  <cp:lastPrinted>2022-06-28T04:35:00Z</cp:lastPrinted>
  <dcterms:modified xsi:type="dcterms:W3CDTF">2023-04-06T08:18:29Z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5E1B75D0382D4F9DBF0B1B1D576D97D4</vt:lpwstr>
  </property>
</Properties>
</file>